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14" w:rsidRPr="00425B14" w:rsidRDefault="00425B14" w:rsidP="00425B14">
      <w:pPr>
        <w:spacing w:after="0" w:line="240" w:lineRule="auto"/>
        <w:jc w:val="center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Uzasadnienie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Cs w:val="24"/>
          <w:lang w:eastAsia="pl-PL"/>
        </w:rPr>
      </w:pP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W związku z podjętą uchwałą nr XXXVIII/223/17 w dniu 30 sierpnia 2017 r. w sprawie określenia zasad udzielania dotacji celowej ze środków budżetu gminy Kudowa–Zdrój w ramach programu "Ograniczenie niskiej emisji na obszarze województwa dolnośląskiego" przy wsparciu finansowym Wojewódzkiego Funduszu Ochrony Środowiska i Gospodarki Wodnej” zostały złożone 33 wnioski o refundację poniesionych wydatków na wymianę tradycyjnych i przestarzałych pieców w budynkach i lokalach  mieszkalnych na nowoczesne ekologiczne źródło ciepła. W 2018 roku zaciągnięto pożyczkę </w:t>
      </w:r>
      <w:r w:rsidRPr="00425B14">
        <w:rPr>
          <w:rFonts w:ascii="Palatino Linotype" w:eastAsia="Times New Roman" w:hAnsi="Palatino Linotype" w:cs="Times New Roman"/>
          <w:b/>
          <w:szCs w:val="24"/>
          <w:lang w:eastAsia="pl-PL"/>
        </w:rPr>
        <w:t>144.311,24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 </w:t>
      </w:r>
      <w:r w:rsidRPr="00425B14">
        <w:rPr>
          <w:rFonts w:ascii="Palatino Linotype" w:eastAsia="Times New Roman" w:hAnsi="Palatino Linotype" w:cs="Times New Roman"/>
          <w:b/>
          <w:szCs w:val="24"/>
          <w:lang w:eastAsia="pl-PL"/>
        </w:rPr>
        <w:t>zł ( 22 wnioski)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. 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W budżecie gminy na 2019 rok zaplanowano zaciągnięcie pożyczki w kwocie </w:t>
      </w:r>
      <w:r w:rsidRPr="00425B14">
        <w:rPr>
          <w:rFonts w:ascii="Palatino Linotype" w:eastAsia="Times New Roman" w:hAnsi="Palatino Linotype" w:cs="Times New Roman"/>
          <w:b/>
          <w:szCs w:val="24"/>
          <w:lang w:eastAsia="pl-PL"/>
        </w:rPr>
        <w:t>175.000,00 zł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 .  I transza opiewa na </w:t>
      </w:r>
      <w:r w:rsidRPr="00425B14">
        <w:rPr>
          <w:rFonts w:ascii="Palatino Linotype" w:eastAsia="Times New Roman" w:hAnsi="Palatino Linotype" w:cs="Times New Roman"/>
          <w:b/>
          <w:szCs w:val="24"/>
          <w:lang w:eastAsia="pl-PL"/>
        </w:rPr>
        <w:t>73.537,50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 </w:t>
      </w:r>
      <w:r w:rsidRPr="00425B14">
        <w:rPr>
          <w:rFonts w:ascii="Palatino Linotype" w:eastAsia="Times New Roman" w:hAnsi="Palatino Linotype" w:cs="Times New Roman"/>
          <w:b/>
          <w:szCs w:val="24"/>
          <w:lang w:eastAsia="pl-PL"/>
        </w:rPr>
        <w:t>zł (11 wniosków)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. Do końca sierpnia br. wpłynęło 21 wniosków na łączną kwotę </w:t>
      </w:r>
      <w:r w:rsidRPr="00425B14">
        <w:rPr>
          <w:rFonts w:ascii="Palatino Linotype" w:eastAsia="Times New Roman" w:hAnsi="Palatino Linotype" w:cs="Times New Roman"/>
          <w:b/>
          <w:szCs w:val="24"/>
          <w:lang w:eastAsia="pl-PL"/>
        </w:rPr>
        <w:t>135.531,27 zł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. Łącznie przekraczało to zaplanowane środki o 34.068,77 zł. Uchwałą nr XII/73/19 Rady Miejskiej </w:t>
      </w:r>
      <w:proofErr w:type="spellStart"/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Kudowy-Zdroju</w:t>
      </w:r>
      <w:proofErr w:type="spellEnd"/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 z dnia 30 września 2019 r. w sprawie zmian w budżecie gminy </w:t>
      </w:r>
      <w:proofErr w:type="spellStart"/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Kudowa-Zdrój</w:t>
      </w:r>
      <w:proofErr w:type="spellEnd"/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 na 2019 rok zwiększony limit zobowiązań z tytułu pożyczki z Wojewódzkiego Funduszu Ochrony Środowiska i Gospodarki Wodnej o 34.068,77 zł do kwoty 209.068,77 zł. 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Proponowana wysokość pożyczki stanowi 50% wartości poniesionych wydatków kwalifikowanych beneficjentów końcowych . 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Proponowany terminy spłaty I transzy:</w:t>
      </w:r>
    </w:p>
    <w:p w:rsidR="00425B14" w:rsidRPr="00425B14" w:rsidRDefault="00425B14" w:rsidP="00425B1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w 2019 roku –   4.167,20 zł (rozpoczęcie spłaty od września 2019 roku),</w:t>
      </w:r>
    </w:p>
    <w:p w:rsidR="00425B14" w:rsidRPr="00425B14" w:rsidRDefault="00425B14" w:rsidP="00425B1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w 2020 roku – 12.501,36 zł</w:t>
      </w:r>
    </w:p>
    <w:p w:rsidR="00425B14" w:rsidRPr="00425B14" w:rsidRDefault="00425B14" w:rsidP="00425B1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w 2021 roku – 12.501,36 zł </w:t>
      </w:r>
    </w:p>
    <w:p w:rsidR="00425B14" w:rsidRPr="00425B14" w:rsidRDefault="00425B14" w:rsidP="00425B1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w 2022 roku – 12.501,36 zł</w:t>
      </w:r>
    </w:p>
    <w:p w:rsidR="00425B14" w:rsidRPr="00425B14" w:rsidRDefault="00425B14" w:rsidP="00425B1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w 2023 roku – 12.501,36 zł</w:t>
      </w:r>
    </w:p>
    <w:p w:rsidR="00425B14" w:rsidRPr="00425B14" w:rsidRDefault="00425B14" w:rsidP="00425B1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w 2024 roku –   8.334,24 zł</w:t>
      </w:r>
    </w:p>
    <w:p w:rsidR="00425B14" w:rsidRPr="00425B14" w:rsidRDefault="00425B14" w:rsidP="00425B14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wystąpienie o umorzenie pożyczki w 2024 roku ( 11.030,62 zł).</w:t>
      </w:r>
    </w:p>
    <w:p w:rsidR="00425B14" w:rsidRPr="00425B14" w:rsidRDefault="00425B14" w:rsidP="00425B14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</w:p>
    <w:p w:rsidR="00425B14" w:rsidRPr="00425B14" w:rsidRDefault="00425B14" w:rsidP="00425B14">
      <w:pPr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Proponowany terminy spłaty II transzy w kwocie  135.531,27 zł planowanej do zaciągnięcia w IV kw. 2019 roku:</w:t>
      </w:r>
    </w:p>
    <w:p w:rsidR="00425B14" w:rsidRPr="00425B14" w:rsidRDefault="00425B14" w:rsidP="00425B14">
      <w:pPr>
        <w:spacing w:after="0" w:line="240" w:lineRule="auto"/>
        <w:ind w:left="284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1)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ab/>
        <w:t>w 2019 roku –     5.759,87 zł (rozpoczęcie spłaty od października 2019 roku),</w:t>
      </w:r>
    </w:p>
    <w:p w:rsidR="00425B14" w:rsidRPr="00425B14" w:rsidRDefault="00425B14" w:rsidP="00425B14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2)    w 2020 roku –   23.040,36 zł</w:t>
      </w:r>
    </w:p>
    <w:p w:rsidR="00425B14" w:rsidRPr="00425B14" w:rsidRDefault="00425B14" w:rsidP="00425B14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3)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ab/>
        <w:t xml:space="preserve">w 2021 roku –   23.040,36 zł </w:t>
      </w:r>
    </w:p>
    <w:p w:rsidR="00425B14" w:rsidRPr="00425B14" w:rsidRDefault="00425B14" w:rsidP="00425B14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4)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ab/>
        <w:t>w 2022 roku –   23.040,36 zł</w:t>
      </w:r>
    </w:p>
    <w:p w:rsidR="00425B14" w:rsidRPr="00425B14" w:rsidRDefault="00425B14" w:rsidP="00425B14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5)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ab/>
        <w:t>w 2023 roku –   23.040,36 zł</w:t>
      </w:r>
    </w:p>
    <w:p w:rsidR="00425B14" w:rsidRPr="00425B14" w:rsidRDefault="00425B14" w:rsidP="00425B14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6)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ab/>
        <w:t>w 2024 roku –   17.280,27 zł</w:t>
      </w:r>
    </w:p>
    <w:p w:rsidR="00425B14" w:rsidRPr="00425B14" w:rsidRDefault="00425B14" w:rsidP="00425B14">
      <w:pPr>
        <w:spacing w:after="0" w:line="240" w:lineRule="auto"/>
        <w:ind w:firstLine="284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7)</w:t>
      </w: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ab/>
        <w:t>wystąpienie o umorzenie pożyczki w2024 roku ( 20.329,69 zł).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Pożyczka z </w:t>
      </w:r>
      <w:proofErr w:type="spellStart"/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WFOŚiGW</w:t>
      </w:r>
      <w:proofErr w:type="spellEnd"/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 jest korzystna dla gminy z uwagi na niskie oprocentowanie dla jednostek samorządu terytorialnego (w stosunku rocznym 2,75 %).  Kolejnym czynnikiem i to najistotniejszym jest możliwość ubiegania się o umorzenie w wysokości 15% kwoty wypłaconej pożyczki.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Umorzenie udzielane jest w przypadku terminowego zakończenia i rozliczenia zadania jak również osiągnięcia założonych efektów ekologicznych.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>Kwota przewidzianej do zaciągnięcia pożyczki jest zgodna z prognozą łącznej kwoty</w:t>
      </w:r>
    </w:p>
    <w:p w:rsidR="00425B14" w:rsidRPr="00425B14" w:rsidRDefault="00425B14" w:rsidP="00425B1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szCs w:val="24"/>
          <w:lang w:eastAsia="pl-PL"/>
        </w:rPr>
      </w:pPr>
      <w:r w:rsidRPr="00425B14">
        <w:rPr>
          <w:rFonts w:ascii="Palatino Linotype" w:eastAsia="Times New Roman" w:hAnsi="Palatino Linotype" w:cs="Times New Roman"/>
          <w:szCs w:val="24"/>
          <w:lang w:eastAsia="pl-PL"/>
        </w:rPr>
        <w:t xml:space="preserve">długu, będącej integralną częścią WPF. </w:t>
      </w:r>
    </w:p>
    <w:p w:rsidR="00425B14" w:rsidRPr="00425B14" w:rsidRDefault="00425B14" w:rsidP="00425B14">
      <w:pPr>
        <w:spacing w:after="0" w:line="240" w:lineRule="auto"/>
        <w:rPr>
          <w:rFonts w:ascii="Palatino Linotype" w:eastAsia="Times New Roman" w:hAnsi="Palatino Linotype" w:cs="Times New Roman"/>
          <w:szCs w:val="24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FA6C1D">
      <w:footerReference w:type="default" r:id="rId5"/>
      <w:pgSz w:w="11906" w:h="16838"/>
      <w:pgMar w:top="1417" w:right="1417" w:bottom="1417" w:left="1417" w:header="708" w:footer="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1D" w:rsidRDefault="00425B14" w:rsidP="00FA6C1D">
    <w:pPr>
      <w:pStyle w:val="Stopka"/>
      <w:ind w:left="-99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817E2"/>
    <w:multiLevelType w:val="hybridMultilevel"/>
    <w:tmpl w:val="FC40B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14"/>
    <w:rsid w:val="003C63A8"/>
    <w:rsid w:val="00425B14"/>
    <w:rsid w:val="00925A0F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DBDF-8EA8-4B0B-888F-3908FDF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25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25B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2019-10-11T09:56:00Z</dcterms:created>
  <dcterms:modified xsi:type="dcterms:W3CDTF">2019-10-11T09:56:00Z</dcterms:modified>
</cp:coreProperties>
</file>